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olor w:val="1A1A1A"/>
        </w:rPr>
      </w:pPr>
      <w:r>
        <w:rPr>
          <w:rFonts w:hint="eastAsia" w:ascii="方正仿宋_GBK" w:eastAsia="方正仿宋_GBK" w:cs="仿宋_GB2312"/>
          <w:snapToGrid w:val="0"/>
          <w:kern w:val="0"/>
          <w:sz w:val="32"/>
          <w:szCs w:val="32"/>
          <w:lang w:val="en-US" w:eastAsia="zh-CN"/>
        </w:rPr>
        <w:t>附件：演讲者及专家</w:t>
      </w:r>
    </w:p>
    <w:p>
      <w:pPr>
        <w:pStyle w:val="19"/>
        <w:rPr>
          <w:rFonts w:ascii="Times New Roman" w:hAnsi="Times New Roman" w:cs="Times New Roman"/>
          <w:color w:val="1A1A1A"/>
          <w:sz w:val="22"/>
          <w:szCs w:val="22"/>
        </w:rPr>
      </w:pPr>
    </w:p>
    <w:p>
      <w:pPr>
        <w:rPr>
          <w:rFonts w:cs="Times New Roman"/>
          <w:b/>
          <w:sz w:val="18"/>
          <w:szCs w:val="18"/>
          <w:lang w:eastAsia="zh-CN"/>
        </w:rPr>
      </w:pPr>
      <w:r>
        <w:rPr>
          <w:rFonts w:cs="Times New Roman"/>
          <w:b/>
          <w:color w:val="auto"/>
          <w:sz w:val="28"/>
          <w:szCs w:val="28"/>
          <w:lang w:eastAsia="zh-CN"/>
        </w:rPr>
        <mc:AlternateContent>
          <mc:Choice Requires="wps">
            <w:drawing>
              <wp:anchor distT="0" distB="0" distL="114300" distR="114300" simplePos="0" relativeHeight="251659264" behindDoc="0" locked="0" layoutInCell="1" allowOverlap="1">
                <wp:simplePos x="0" y="0"/>
                <wp:positionH relativeFrom="column">
                  <wp:posOffset>1170940</wp:posOffset>
                </wp:positionH>
                <wp:positionV relativeFrom="paragraph">
                  <wp:posOffset>132715</wp:posOffset>
                </wp:positionV>
                <wp:extent cx="5019675" cy="2518410"/>
                <wp:effectExtent l="0" t="0" r="0" b="0"/>
                <wp:wrapNone/>
                <wp:docPr id="3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19675" cy="1956390"/>
                        </a:xfrm>
                        <a:prstGeom prst="rect">
                          <a:avLst/>
                        </a:prstGeom>
                        <a:noFill/>
                        <a:ln w="9525">
                          <a:noFill/>
                          <a:miter lim="800000"/>
                        </a:ln>
                        <a:effectLst/>
                      </wps:spPr>
                      <wps:txbx>
                        <w:txbxContent>
                          <w:p>
                            <w:pPr>
                              <w:pStyle w:val="19"/>
                              <w:rPr>
                                <w:rFonts w:ascii="Times New Roman" w:hAnsi="Times New Roman" w:cs="Times New Roman"/>
                                <w:b/>
                                <w:bCs/>
                                <w:color w:val="auto"/>
                                <w:sz w:val="28"/>
                                <w:szCs w:val="28"/>
                              </w:rPr>
                            </w:pPr>
                            <w:r>
                              <w:rPr>
                                <w:rFonts w:ascii="Times New Roman" w:hAnsi="Times New Roman" w:cs="Times New Roman"/>
                                <w:b/>
                                <w:color w:val="auto"/>
                                <w:sz w:val="28"/>
                                <w:szCs w:val="28"/>
                              </w:rPr>
                              <w:t>Scott Burchiel, PhD, ATS</w:t>
                            </w:r>
                            <w:r>
                              <w:rPr>
                                <w:rFonts w:ascii="Times New Roman" w:hAnsi="Times New Roman" w:cs="Times New Roman"/>
                                <w:b/>
                                <w:sz w:val="28"/>
                                <w:szCs w:val="28"/>
                              </w:rPr>
                              <w:br w:type="textWrapping"/>
                            </w:r>
                            <w:bookmarkStart w:id="0" w:name="OLE_LINK2"/>
                            <w:r>
                              <w:rPr>
                                <w:rFonts w:hint="eastAsia" w:ascii="Times New Roman" w:hAnsi="Times New Roman" w:cs="Times New Roman"/>
                                <w:b/>
                                <w:bCs/>
                                <w:color w:val="auto"/>
                              </w:rPr>
                              <w:t>免疫学及免疫毒理</w:t>
                            </w:r>
                            <w:bookmarkEnd w:id="0"/>
                            <w:r>
                              <w:rPr>
                                <w:rFonts w:hint="eastAsia" w:ascii="Times New Roman" w:hAnsi="Times New Roman" w:cs="Times New Roman"/>
                                <w:b/>
                                <w:bCs/>
                                <w:color w:val="auto"/>
                              </w:rPr>
                              <w:t>科学执行总监</w:t>
                            </w:r>
                            <w:r>
                              <w:rPr>
                                <w:rFonts w:ascii="Times New Roman" w:hAnsi="Times New Roman" w:cs="Times New Roman"/>
                                <w:b/>
                                <w:bCs/>
                                <w:color w:val="auto"/>
                                <w:sz w:val="28"/>
                                <w:szCs w:val="28"/>
                              </w:rPr>
                              <w:t xml:space="preserve"> </w:t>
                            </w:r>
                          </w:p>
                          <w:p>
                            <w:pPr>
                              <w:pStyle w:val="19"/>
                              <w:rPr>
                                <w:rFonts w:ascii="Times New Roman" w:hAnsi="Times New Roman" w:cs="Times New Roman"/>
                                <w:color w:val="auto"/>
                                <w:sz w:val="18"/>
                                <w:szCs w:val="18"/>
                              </w:rPr>
                            </w:pPr>
                          </w:p>
                          <w:p>
                            <w:pPr>
                              <w:rPr>
                                <w:rFonts w:cs="Times New Roman"/>
                                <w:color w:val="181818"/>
                                <w:sz w:val="20"/>
                                <w:szCs w:val="20"/>
                                <w:lang w:eastAsia="zh-CN"/>
                              </w:rPr>
                            </w:pPr>
                            <w:r>
                              <w:rPr>
                                <w:rFonts w:hint="eastAsia" w:cs="Times New Roman"/>
                                <w:color w:val="181818"/>
                                <w:sz w:val="20"/>
                                <w:szCs w:val="20"/>
                                <w:lang w:eastAsia="zh-CN"/>
                              </w:rPr>
                              <w:t>•新墨西哥大学药学系杰出教授</w:t>
                            </w:r>
                          </w:p>
                          <w:p>
                            <w:pPr>
                              <w:rPr>
                                <w:rFonts w:cs="Times New Roman"/>
                                <w:color w:val="181818"/>
                                <w:sz w:val="20"/>
                                <w:szCs w:val="20"/>
                                <w:lang w:eastAsia="zh-CN"/>
                              </w:rPr>
                            </w:pPr>
                            <w:r>
                              <w:rPr>
                                <w:rFonts w:hint="eastAsia" w:cs="Times New Roman"/>
                                <w:color w:val="181818"/>
                                <w:sz w:val="20"/>
                                <w:szCs w:val="20"/>
                                <w:lang w:eastAsia="zh-CN"/>
                              </w:rPr>
                              <w:t>•担任免疫毒理学/生物技术教授长达35年</w:t>
                            </w:r>
                          </w:p>
                          <w:p>
                            <w:pPr>
                              <w:rPr>
                                <w:rFonts w:cs="Times New Roman"/>
                                <w:color w:val="181818"/>
                                <w:sz w:val="20"/>
                                <w:szCs w:val="20"/>
                                <w:lang w:eastAsia="zh-CN"/>
                              </w:rPr>
                            </w:pPr>
                            <w:r>
                              <w:rPr>
                                <w:rFonts w:hint="eastAsia" w:cs="Times New Roman"/>
                                <w:color w:val="181818"/>
                                <w:sz w:val="20"/>
                                <w:szCs w:val="20"/>
                                <w:lang w:eastAsia="zh-CN"/>
                              </w:rPr>
                              <w:t>•毒理科学学会成员</w:t>
                            </w:r>
                          </w:p>
                          <w:p>
                            <w:pPr>
                              <w:rPr>
                                <w:rFonts w:cs="Times New Roman"/>
                                <w:color w:val="181818"/>
                                <w:sz w:val="20"/>
                                <w:szCs w:val="20"/>
                                <w:lang w:eastAsia="zh-CN"/>
                              </w:rPr>
                            </w:pPr>
                            <w:r>
                              <w:rPr>
                                <w:rFonts w:hint="eastAsia" w:cs="Times New Roman"/>
                                <w:color w:val="181818"/>
                                <w:sz w:val="20"/>
                                <w:szCs w:val="20"/>
                                <w:lang w:eastAsia="zh-CN"/>
                              </w:rPr>
                              <w:t>•曾担任FDA国家中心的毒理学研究咨询委员会主席</w:t>
                            </w:r>
                          </w:p>
                          <w:p>
                            <w:pPr>
                              <w:rPr>
                                <w:rFonts w:cs="Times New Roman"/>
                                <w:color w:val="181818"/>
                                <w:sz w:val="20"/>
                                <w:szCs w:val="20"/>
                                <w:lang w:eastAsia="zh-CN"/>
                              </w:rPr>
                            </w:pPr>
                            <w:r>
                              <w:rPr>
                                <w:rFonts w:hint="eastAsia" w:cs="Times New Roman"/>
                                <w:color w:val="181818"/>
                                <w:sz w:val="20"/>
                                <w:szCs w:val="20"/>
                                <w:lang w:eastAsia="zh-CN"/>
                              </w:rPr>
                              <w:t>•主编——毒理学和应用药理学（2010-2016）</w:t>
                            </w:r>
                          </w:p>
                          <w:p>
                            <w:pPr>
                              <w:rPr>
                                <w:rFonts w:cs="Times New Roman"/>
                                <w:color w:val="181818"/>
                                <w:sz w:val="20"/>
                                <w:szCs w:val="20"/>
                                <w:lang w:eastAsia="zh-CN"/>
                              </w:rPr>
                            </w:pPr>
                            <w:r>
                              <w:rPr>
                                <w:rFonts w:hint="eastAsia" w:cs="Times New Roman"/>
                                <w:color w:val="181818"/>
                                <w:sz w:val="20"/>
                                <w:szCs w:val="20"/>
                                <w:lang w:eastAsia="zh-CN"/>
                              </w:rPr>
                              <w:t>•担任免疫毒理学生物产业顾问20余年</w:t>
                            </w:r>
                          </w:p>
                          <w:p>
                            <w:pPr>
                              <w:rPr>
                                <w:rFonts w:cs="Times New Roman"/>
                                <w:color w:val="181818"/>
                                <w:sz w:val="20"/>
                                <w:szCs w:val="20"/>
                                <w:lang w:eastAsia="zh-CN"/>
                              </w:rPr>
                            </w:pPr>
                            <w:r>
                              <w:rPr>
                                <w:rFonts w:hint="eastAsia" w:cs="Times New Roman"/>
                                <w:color w:val="181818"/>
                                <w:sz w:val="20"/>
                                <w:szCs w:val="20"/>
                                <w:lang w:eastAsia="zh-CN"/>
                              </w:rPr>
                              <w:t>•多次获得美国国立卫生研究院对于转基因小鼠模型和免疫毒理学研究的资助</w:t>
                            </w:r>
                          </w:p>
                          <w:p>
                            <w:pPr>
                              <w:rPr>
                                <w:rFonts w:cs="Times New Roman"/>
                                <w:b/>
                                <w:sz w:val="20"/>
                                <w:szCs w:val="20"/>
                                <w:lang w:eastAsia="zh-CN"/>
                              </w:rPr>
                            </w:pPr>
                            <w:r>
                              <w:rPr>
                                <w:rFonts w:hint="eastAsia" w:cs="Times New Roman"/>
                                <w:color w:val="181818"/>
                                <w:sz w:val="20"/>
                                <w:szCs w:val="20"/>
                                <w:lang w:eastAsia="zh-CN"/>
                              </w:rPr>
                              <w:t>•使用流式细胞仪检测免疫毒性和评估免疫功能的先驱</w:t>
                            </w:r>
                          </w:p>
                          <w:p>
                            <w:pPr>
                              <w:rPr>
                                <w:lang w:eastAsia="zh-CN"/>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2pt;margin-top:10.45pt;height:198.3pt;width:395.25pt;z-index:251659264;mso-width-relative:page;mso-height-relative:page;" filled="f" stroked="f" coordsize="21600,21600" o:gfxdata="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pZC9cAAAAKAQAADwAAAAAAAAABACAAAAAiAAAAZHJzL2Rv&#10;d25yZXYueG1sUEsBAhQAFAAAAAgAh07iQEYdcEcCAgAA6wMAAA4AAAAAAAAAAQAgAAAAJgEAAGRy&#10;cy9lMm9Eb2MueG1sUEsFBgAAAAAGAAYAWQEAAJoFAAAAAA==&#10;">
                <v:fill on="f" focussize="0,0"/>
                <v:stroke on="f" miterlimit="8" joinstyle="miter"/>
                <v:imagedata o:title=""/>
                <o:lock v:ext="edit" aspectratio="f"/>
                <v:textbox>
                  <w:txbxContent>
                    <w:p>
                      <w:pPr>
                        <w:pStyle w:val="19"/>
                        <w:rPr>
                          <w:rFonts w:ascii="Times New Roman" w:hAnsi="Times New Roman" w:cs="Times New Roman"/>
                          <w:b/>
                          <w:bCs/>
                          <w:color w:val="auto"/>
                          <w:sz w:val="28"/>
                          <w:szCs w:val="28"/>
                        </w:rPr>
                      </w:pPr>
                      <w:r>
                        <w:rPr>
                          <w:rFonts w:ascii="Times New Roman" w:hAnsi="Times New Roman" w:cs="Times New Roman"/>
                          <w:b/>
                          <w:color w:val="auto"/>
                          <w:sz w:val="28"/>
                          <w:szCs w:val="28"/>
                        </w:rPr>
                        <w:t>Scott Burchiel, PhD, ATS</w:t>
                      </w:r>
                      <w:r>
                        <w:rPr>
                          <w:rFonts w:ascii="Times New Roman" w:hAnsi="Times New Roman" w:cs="Times New Roman"/>
                          <w:b/>
                          <w:sz w:val="28"/>
                          <w:szCs w:val="28"/>
                        </w:rPr>
                        <w:br w:type="textWrapping"/>
                      </w:r>
                      <w:bookmarkStart w:id="0" w:name="OLE_LINK2"/>
                      <w:r>
                        <w:rPr>
                          <w:rFonts w:hint="eastAsia" w:ascii="Times New Roman" w:hAnsi="Times New Roman" w:cs="Times New Roman"/>
                          <w:b/>
                          <w:bCs/>
                          <w:color w:val="auto"/>
                        </w:rPr>
                        <w:t>免疫学及免疫毒理</w:t>
                      </w:r>
                      <w:bookmarkEnd w:id="0"/>
                      <w:r>
                        <w:rPr>
                          <w:rFonts w:hint="eastAsia" w:ascii="Times New Roman" w:hAnsi="Times New Roman" w:cs="Times New Roman"/>
                          <w:b/>
                          <w:bCs/>
                          <w:color w:val="auto"/>
                        </w:rPr>
                        <w:t>科学执行总监</w:t>
                      </w:r>
                      <w:r>
                        <w:rPr>
                          <w:rFonts w:ascii="Times New Roman" w:hAnsi="Times New Roman" w:cs="Times New Roman"/>
                          <w:b/>
                          <w:bCs/>
                          <w:color w:val="auto"/>
                          <w:sz w:val="28"/>
                          <w:szCs w:val="28"/>
                        </w:rPr>
                        <w:t xml:space="preserve"> </w:t>
                      </w:r>
                    </w:p>
                    <w:p>
                      <w:pPr>
                        <w:pStyle w:val="19"/>
                        <w:rPr>
                          <w:rFonts w:ascii="Times New Roman" w:hAnsi="Times New Roman" w:cs="Times New Roman"/>
                          <w:color w:val="auto"/>
                          <w:sz w:val="18"/>
                          <w:szCs w:val="18"/>
                        </w:rPr>
                      </w:pPr>
                    </w:p>
                    <w:p>
                      <w:pPr>
                        <w:rPr>
                          <w:rFonts w:cs="Times New Roman"/>
                          <w:color w:val="181818"/>
                          <w:sz w:val="20"/>
                          <w:szCs w:val="20"/>
                          <w:lang w:eastAsia="zh-CN"/>
                        </w:rPr>
                      </w:pPr>
                      <w:r>
                        <w:rPr>
                          <w:rFonts w:hint="eastAsia" w:cs="Times New Roman"/>
                          <w:color w:val="181818"/>
                          <w:sz w:val="20"/>
                          <w:szCs w:val="20"/>
                          <w:lang w:eastAsia="zh-CN"/>
                        </w:rPr>
                        <w:t>•新墨西哥大学药学系杰出教授</w:t>
                      </w:r>
                    </w:p>
                    <w:p>
                      <w:pPr>
                        <w:rPr>
                          <w:rFonts w:cs="Times New Roman"/>
                          <w:color w:val="181818"/>
                          <w:sz w:val="20"/>
                          <w:szCs w:val="20"/>
                          <w:lang w:eastAsia="zh-CN"/>
                        </w:rPr>
                      </w:pPr>
                      <w:r>
                        <w:rPr>
                          <w:rFonts w:hint="eastAsia" w:cs="Times New Roman"/>
                          <w:color w:val="181818"/>
                          <w:sz w:val="20"/>
                          <w:szCs w:val="20"/>
                          <w:lang w:eastAsia="zh-CN"/>
                        </w:rPr>
                        <w:t>•担任免疫毒理学/生物技术教授长达35年</w:t>
                      </w:r>
                    </w:p>
                    <w:p>
                      <w:pPr>
                        <w:rPr>
                          <w:rFonts w:cs="Times New Roman"/>
                          <w:color w:val="181818"/>
                          <w:sz w:val="20"/>
                          <w:szCs w:val="20"/>
                          <w:lang w:eastAsia="zh-CN"/>
                        </w:rPr>
                      </w:pPr>
                      <w:r>
                        <w:rPr>
                          <w:rFonts w:hint="eastAsia" w:cs="Times New Roman"/>
                          <w:color w:val="181818"/>
                          <w:sz w:val="20"/>
                          <w:szCs w:val="20"/>
                          <w:lang w:eastAsia="zh-CN"/>
                        </w:rPr>
                        <w:t>•毒理科学学会成员</w:t>
                      </w:r>
                    </w:p>
                    <w:p>
                      <w:pPr>
                        <w:rPr>
                          <w:rFonts w:cs="Times New Roman"/>
                          <w:color w:val="181818"/>
                          <w:sz w:val="20"/>
                          <w:szCs w:val="20"/>
                          <w:lang w:eastAsia="zh-CN"/>
                        </w:rPr>
                      </w:pPr>
                      <w:r>
                        <w:rPr>
                          <w:rFonts w:hint="eastAsia" w:cs="Times New Roman"/>
                          <w:color w:val="181818"/>
                          <w:sz w:val="20"/>
                          <w:szCs w:val="20"/>
                          <w:lang w:eastAsia="zh-CN"/>
                        </w:rPr>
                        <w:t>•曾担任FDA国家中心的毒理学研究咨询委员会主席</w:t>
                      </w:r>
                    </w:p>
                    <w:p>
                      <w:pPr>
                        <w:rPr>
                          <w:rFonts w:cs="Times New Roman"/>
                          <w:color w:val="181818"/>
                          <w:sz w:val="20"/>
                          <w:szCs w:val="20"/>
                          <w:lang w:eastAsia="zh-CN"/>
                        </w:rPr>
                      </w:pPr>
                      <w:r>
                        <w:rPr>
                          <w:rFonts w:hint="eastAsia" w:cs="Times New Roman"/>
                          <w:color w:val="181818"/>
                          <w:sz w:val="20"/>
                          <w:szCs w:val="20"/>
                          <w:lang w:eastAsia="zh-CN"/>
                        </w:rPr>
                        <w:t>•主编——毒理学和应用药理学（2010-2016）</w:t>
                      </w:r>
                    </w:p>
                    <w:p>
                      <w:pPr>
                        <w:rPr>
                          <w:rFonts w:cs="Times New Roman"/>
                          <w:color w:val="181818"/>
                          <w:sz w:val="20"/>
                          <w:szCs w:val="20"/>
                          <w:lang w:eastAsia="zh-CN"/>
                        </w:rPr>
                      </w:pPr>
                      <w:r>
                        <w:rPr>
                          <w:rFonts w:hint="eastAsia" w:cs="Times New Roman"/>
                          <w:color w:val="181818"/>
                          <w:sz w:val="20"/>
                          <w:szCs w:val="20"/>
                          <w:lang w:eastAsia="zh-CN"/>
                        </w:rPr>
                        <w:t>•担任免疫毒理学生物产业顾问20余年</w:t>
                      </w:r>
                    </w:p>
                    <w:p>
                      <w:pPr>
                        <w:rPr>
                          <w:rFonts w:cs="Times New Roman"/>
                          <w:color w:val="181818"/>
                          <w:sz w:val="20"/>
                          <w:szCs w:val="20"/>
                          <w:lang w:eastAsia="zh-CN"/>
                        </w:rPr>
                      </w:pPr>
                      <w:r>
                        <w:rPr>
                          <w:rFonts w:hint="eastAsia" w:cs="Times New Roman"/>
                          <w:color w:val="181818"/>
                          <w:sz w:val="20"/>
                          <w:szCs w:val="20"/>
                          <w:lang w:eastAsia="zh-CN"/>
                        </w:rPr>
                        <w:t>•多次获得美国国立卫生研究院对于转基因小鼠模型和免疫毒理学研究的资助</w:t>
                      </w:r>
                    </w:p>
                    <w:p>
                      <w:pPr>
                        <w:rPr>
                          <w:rFonts w:cs="Times New Roman"/>
                          <w:b/>
                          <w:sz w:val="20"/>
                          <w:szCs w:val="20"/>
                          <w:lang w:eastAsia="zh-CN"/>
                        </w:rPr>
                      </w:pPr>
                      <w:r>
                        <w:rPr>
                          <w:rFonts w:hint="eastAsia" w:cs="Times New Roman"/>
                          <w:color w:val="181818"/>
                          <w:sz w:val="20"/>
                          <w:szCs w:val="20"/>
                          <w:lang w:eastAsia="zh-CN"/>
                        </w:rPr>
                        <w:t>•使用流式细胞仪检测免疫毒性和评估免疫功能的先驱</w:t>
                      </w:r>
                    </w:p>
                    <w:p>
                      <w:pPr>
                        <w:rPr>
                          <w:lang w:eastAsia="zh-CN"/>
                        </w:rPr>
                      </w:pPr>
                    </w:p>
                  </w:txbxContent>
                </v:textbox>
              </v:shape>
            </w:pict>
          </mc:Fallback>
        </mc:AlternateContent>
      </w:r>
      <w:r>
        <w:rPr>
          <w:rFonts w:hint="eastAsia" w:cs="Times New Roman"/>
          <w:b/>
          <w:sz w:val="28"/>
          <w:szCs w:val="28"/>
          <w:lang w:eastAsia="zh-CN"/>
        </w:rPr>
        <w:br w:type="textWrapping"/>
      </w:r>
    </w:p>
    <w:p>
      <w:pPr>
        <w:pStyle w:val="19"/>
        <w:rPr>
          <w:color w:val="002F57"/>
          <w:sz w:val="54"/>
          <w:szCs w:val="54"/>
        </w:rPr>
      </w:pPr>
      <w:r>
        <w:rPr>
          <w:color w:val="1A1A1A"/>
        </w:rPr>
        <w:drawing>
          <wp:inline distT="0" distB="0" distL="114300" distR="114300">
            <wp:extent cx="994410" cy="1519555"/>
            <wp:effectExtent l="0" t="0" r="152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994410" cy="1519555"/>
                    </a:xfrm>
                    <a:prstGeom prst="rect">
                      <a:avLst/>
                    </a:prstGeom>
                    <a:noFill/>
                    <a:ln w="9525">
                      <a:noFill/>
                    </a:ln>
                  </pic:spPr>
                </pic:pic>
              </a:graphicData>
            </a:graphic>
          </wp:inline>
        </w:drawing>
      </w:r>
      <w:r>
        <w:rPr>
          <w:color w:val="002F57"/>
          <w:sz w:val="54"/>
          <w:szCs w:val="54"/>
        </w:rPr>
        <w:t xml:space="preserve"> </w:t>
      </w:r>
    </w:p>
    <w:p>
      <w:pPr>
        <w:pStyle w:val="19"/>
        <w:rPr>
          <w:color w:val="1A1A1A"/>
        </w:rPr>
      </w:pPr>
    </w:p>
    <w:p>
      <w:pPr>
        <w:pStyle w:val="19"/>
        <w:rPr>
          <w:color w:val="1A1A1A"/>
        </w:rPr>
      </w:pPr>
    </w:p>
    <w:p>
      <w:pPr>
        <w:pStyle w:val="19"/>
        <w:rPr>
          <w:color w:val="1A1A1A"/>
        </w:rPr>
      </w:pPr>
    </w:p>
    <w:p>
      <w:pPr>
        <w:pStyle w:val="19"/>
        <w:rPr>
          <w:color w:val="1A1A1A"/>
        </w:rPr>
      </w:pPr>
    </w:p>
    <w:p>
      <w:pPr>
        <w:rPr>
          <w:rFonts w:cs="Times New Roman"/>
        </w:rPr>
      </w:pPr>
    </w:p>
    <w:p>
      <w:pPr>
        <w:rPr>
          <w:rFonts w:cs="Times New Roman"/>
        </w:rPr>
      </w:pPr>
      <w:r>
        <w:rPr>
          <w:color w:val="181818"/>
          <w:lang w:eastAsia="zh-CN"/>
        </w:rPr>
        <mc:AlternateContent>
          <mc:Choice Requires="wps">
            <w:drawing>
              <wp:anchor distT="0" distB="0" distL="114300" distR="114300" simplePos="0" relativeHeight="251660288" behindDoc="0" locked="0" layoutInCell="1" allowOverlap="1">
                <wp:simplePos x="0" y="0"/>
                <wp:positionH relativeFrom="column">
                  <wp:posOffset>1191260</wp:posOffset>
                </wp:positionH>
                <wp:positionV relativeFrom="paragraph">
                  <wp:posOffset>12065</wp:posOffset>
                </wp:positionV>
                <wp:extent cx="5286375" cy="2383155"/>
                <wp:effectExtent l="0" t="0" r="0" b="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5286375" cy="1765004"/>
                        </a:xfrm>
                        <a:prstGeom prst="rect">
                          <a:avLst/>
                        </a:prstGeom>
                        <a:noFill/>
                        <a:ln w="9525">
                          <a:noFill/>
                          <a:miter lim="800000"/>
                        </a:ln>
                        <a:effectLst/>
                      </wps:spPr>
                      <wps:txbx>
                        <w:txbxContent>
                          <w:p>
                            <w:pPr>
                              <w:pStyle w:val="19"/>
                              <w:rPr>
                                <w:rFonts w:ascii="Times New Roman" w:hAnsi="Times New Roman" w:cs="Times New Roman"/>
                                <w:b/>
                                <w:bCs/>
                                <w:color w:val="auto"/>
                                <w:sz w:val="28"/>
                                <w:szCs w:val="28"/>
                              </w:rPr>
                            </w:pPr>
                            <w:r>
                              <w:rPr>
                                <w:rFonts w:ascii="Times New Roman" w:hAnsi="Times New Roman" w:cs="Times New Roman"/>
                                <w:b/>
                                <w:color w:val="auto"/>
                                <w:sz w:val="28"/>
                                <w:szCs w:val="28"/>
                              </w:rPr>
                              <w:t>Brian Maron, M.S.</w:t>
                            </w:r>
                            <w:r>
                              <w:rPr>
                                <w:rFonts w:ascii="Times New Roman" w:hAnsi="Times New Roman" w:cs="Times New Roman"/>
                                <w:b/>
                                <w:sz w:val="28"/>
                                <w:szCs w:val="28"/>
                              </w:rPr>
                              <w:br w:type="textWrapping"/>
                            </w:r>
                            <w:r>
                              <w:rPr>
                                <w:rFonts w:hint="eastAsia" w:ascii="Times New Roman" w:hAnsi="Times New Roman" w:cs="Times New Roman"/>
                                <w:b/>
                                <w:bCs/>
                                <w:color w:val="auto"/>
                              </w:rPr>
                              <w:t>全球运营、免疫学及免疫毒理执行总监</w:t>
                            </w:r>
                          </w:p>
                          <w:p>
                            <w:pPr>
                              <w:rPr>
                                <w:rFonts w:cs="Times New Roman"/>
                                <w:b/>
                                <w:bCs/>
                                <w:color w:val="auto"/>
                                <w:sz w:val="16"/>
                                <w:szCs w:val="16"/>
                                <w:lang w:eastAsia="zh-CN"/>
                              </w:rPr>
                            </w:pPr>
                          </w:p>
                          <w:p>
                            <w:pPr>
                              <w:rPr>
                                <w:rFonts w:cs="Times New Roman"/>
                                <w:color w:val="181818"/>
                                <w:sz w:val="20"/>
                                <w:szCs w:val="20"/>
                                <w:lang w:eastAsia="zh-CN"/>
                              </w:rPr>
                            </w:pPr>
                            <w:r>
                              <w:rPr>
                                <w:rFonts w:hint="eastAsia" w:cs="Times New Roman"/>
                                <w:b/>
                                <w:bCs/>
                                <w:color w:val="auto"/>
                                <w:sz w:val="20"/>
                                <w:szCs w:val="20"/>
                                <w:lang w:eastAsia="zh-CN"/>
                              </w:rPr>
                              <w:t>•</w:t>
                            </w:r>
                            <w:r>
                              <w:rPr>
                                <w:rFonts w:hint="eastAsia" w:cs="Times New Roman"/>
                                <w:color w:val="181818"/>
                                <w:sz w:val="20"/>
                                <w:szCs w:val="20"/>
                                <w:lang w:eastAsia="zh-CN"/>
                              </w:rPr>
                              <w:t>在科文斯拥有超过22年的临床前和临床药物开发经验</w:t>
                            </w:r>
                          </w:p>
                          <w:p>
                            <w:pPr>
                              <w:rPr>
                                <w:rFonts w:cs="Times New Roman"/>
                                <w:color w:val="181818"/>
                                <w:sz w:val="20"/>
                                <w:szCs w:val="20"/>
                                <w:lang w:eastAsia="zh-CN"/>
                              </w:rPr>
                            </w:pPr>
                            <w:r>
                              <w:rPr>
                                <w:rFonts w:hint="eastAsia" w:cs="Times New Roman"/>
                                <w:color w:val="181818"/>
                                <w:sz w:val="20"/>
                                <w:szCs w:val="20"/>
                                <w:lang w:eastAsia="zh-CN"/>
                              </w:rPr>
                              <w:t>•负责全球免疫学和免疫毒理学部门及科文斯早期开发实验室运营</w:t>
                            </w:r>
                          </w:p>
                          <w:p>
                            <w:pPr>
                              <w:rPr>
                                <w:rFonts w:cs="Times New Roman"/>
                                <w:color w:val="181818"/>
                                <w:sz w:val="20"/>
                                <w:szCs w:val="20"/>
                                <w:lang w:eastAsia="zh-CN"/>
                              </w:rPr>
                            </w:pPr>
                            <w:r>
                              <w:rPr>
                                <w:rFonts w:hint="eastAsia" w:cs="Times New Roman"/>
                                <w:color w:val="181818"/>
                                <w:sz w:val="20"/>
                                <w:szCs w:val="20"/>
                                <w:lang w:eastAsia="zh-CN"/>
                              </w:rPr>
                              <w:t>•领导业务部门，确保其工作符合标准</w:t>
                            </w:r>
                          </w:p>
                          <w:p>
                            <w:pPr>
                              <w:rPr>
                                <w:rFonts w:hint="eastAsia" w:cs="Times New Roman"/>
                                <w:color w:val="181818"/>
                                <w:sz w:val="20"/>
                                <w:szCs w:val="20"/>
                                <w:lang w:eastAsia="zh-CN"/>
                              </w:rPr>
                            </w:pPr>
                            <w:r>
                              <w:rPr>
                                <w:rFonts w:hint="eastAsia" w:cs="Times New Roman"/>
                                <w:color w:val="181818"/>
                                <w:sz w:val="20"/>
                                <w:szCs w:val="20"/>
                                <w:lang w:eastAsia="zh-CN"/>
                              </w:rPr>
                              <w:t>•确保试验符合相应的标准操作规程（SOPs）、良好实验室规范（GLPs）、</w:t>
                            </w:r>
                          </w:p>
                          <w:p>
                            <w:pPr>
                              <w:rPr>
                                <w:rFonts w:cs="Times New Roman"/>
                                <w:color w:val="181818"/>
                                <w:sz w:val="20"/>
                                <w:szCs w:val="20"/>
                                <w:lang w:eastAsia="zh-CN"/>
                              </w:rPr>
                            </w:pPr>
                            <w:r>
                              <w:rPr>
                                <w:rFonts w:hint="eastAsia" w:cs="Times New Roman"/>
                                <w:color w:val="181818"/>
                                <w:sz w:val="20"/>
                                <w:szCs w:val="20"/>
                                <w:lang w:eastAsia="zh-CN"/>
                              </w:rPr>
                              <w:t>国际AAALAC标准、动物福利法以及监管机构的指导方针</w:t>
                            </w:r>
                          </w:p>
                          <w:p>
                            <w:pPr>
                              <w:rPr>
                                <w:rFonts w:cs="Times New Roman"/>
                                <w:color w:val="181818"/>
                                <w:sz w:val="20"/>
                                <w:szCs w:val="20"/>
                                <w:lang w:eastAsia="zh-CN"/>
                              </w:rPr>
                            </w:pPr>
                            <w:r>
                              <w:rPr>
                                <w:rFonts w:hint="eastAsia" w:cs="Times New Roman"/>
                                <w:color w:val="181818"/>
                                <w:sz w:val="20"/>
                                <w:szCs w:val="20"/>
                                <w:lang w:eastAsia="zh-CN"/>
                              </w:rPr>
                              <w:t>•管理业务人员的业绩并对业务部门进行财政管理</w:t>
                            </w:r>
                          </w:p>
                          <w:p>
                            <w:pPr>
                              <w:rPr>
                                <w:rFonts w:cs="Times New Roman"/>
                                <w:color w:val="181818"/>
                                <w:sz w:val="20"/>
                                <w:szCs w:val="20"/>
                                <w:lang w:eastAsia="zh-CN"/>
                              </w:rPr>
                            </w:pPr>
                            <w:r>
                              <w:rPr>
                                <w:rFonts w:hint="eastAsia" w:cs="Times New Roman"/>
                                <w:color w:val="181818"/>
                                <w:sz w:val="20"/>
                                <w:szCs w:val="20"/>
                                <w:lang w:eastAsia="zh-CN"/>
                              </w:rPr>
                              <w:t>•确保向内部及外部客户准时交付高质量的结果</w:t>
                            </w:r>
                          </w:p>
                        </w:txbxContent>
                      </wps:txbx>
                      <wps:bodyPr rot="0" vert="horz" wrap="square" lIns="91440" tIns="45720" rIns="91440" bIns="45720" anchor="t" anchorCtr="0">
                        <a:noAutofit/>
                      </wps:bodyPr>
                    </wps:wsp>
                  </a:graphicData>
                </a:graphic>
              </wp:anchor>
            </w:drawing>
          </mc:Choice>
          <mc:Fallback>
            <w:pict>
              <v:shape id="Text Box 4" o:spid="_x0000_s1026" o:spt="202" type="#_x0000_t202" style="position:absolute;left:0pt;margin-left:93.8pt;margin-top:0.95pt;height:187.65pt;width:416.25pt;z-index:251660288;mso-width-relative:page;mso-height-relative:page;" filled="f" stroked="f" coordsize="21600,21600" o:gfxdata="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sPJRNcAAAAKAQAADwAAAAAAAAABACAAAAAiAAAAZHJzL2Rvd25y&#10;ZXYueG1sUEsBAhQAFAAAAAgAh07iQIMx1/z/AQAA6QMAAA4AAAAAAAAAAQAgAAAAJgEAAGRycy9l&#10;Mm9Eb2MueG1sUEsFBgAAAAAGAAYAWQEAAJcFAAAAAA==&#10;">
                <v:fill on="f" focussize="0,0"/>
                <v:stroke on="f" miterlimit="8" joinstyle="miter"/>
                <v:imagedata o:title=""/>
                <o:lock v:ext="edit" aspectratio="f"/>
                <v:textbox>
                  <w:txbxContent>
                    <w:p>
                      <w:pPr>
                        <w:pStyle w:val="19"/>
                        <w:rPr>
                          <w:rFonts w:ascii="Times New Roman" w:hAnsi="Times New Roman" w:cs="Times New Roman"/>
                          <w:b/>
                          <w:bCs/>
                          <w:color w:val="auto"/>
                          <w:sz w:val="28"/>
                          <w:szCs w:val="28"/>
                        </w:rPr>
                      </w:pPr>
                      <w:r>
                        <w:rPr>
                          <w:rFonts w:ascii="Times New Roman" w:hAnsi="Times New Roman" w:cs="Times New Roman"/>
                          <w:b/>
                          <w:color w:val="auto"/>
                          <w:sz w:val="28"/>
                          <w:szCs w:val="28"/>
                        </w:rPr>
                        <w:t>Brian Maron, M.S.</w:t>
                      </w:r>
                      <w:r>
                        <w:rPr>
                          <w:rFonts w:ascii="Times New Roman" w:hAnsi="Times New Roman" w:cs="Times New Roman"/>
                          <w:b/>
                          <w:sz w:val="28"/>
                          <w:szCs w:val="28"/>
                        </w:rPr>
                        <w:br w:type="textWrapping"/>
                      </w:r>
                      <w:r>
                        <w:rPr>
                          <w:rFonts w:hint="eastAsia" w:ascii="Times New Roman" w:hAnsi="Times New Roman" w:cs="Times New Roman"/>
                          <w:b/>
                          <w:bCs/>
                          <w:color w:val="auto"/>
                        </w:rPr>
                        <w:t>全球运营、免疫学及免疫毒理执行总监</w:t>
                      </w:r>
                    </w:p>
                    <w:p>
                      <w:pPr>
                        <w:rPr>
                          <w:rFonts w:cs="Times New Roman"/>
                          <w:b/>
                          <w:bCs/>
                          <w:color w:val="auto"/>
                          <w:sz w:val="16"/>
                          <w:szCs w:val="16"/>
                          <w:lang w:eastAsia="zh-CN"/>
                        </w:rPr>
                      </w:pPr>
                    </w:p>
                    <w:p>
                      <w:pPr>
                        <w:rPr>
                          <w:rFonts w:cs="Times New Roman"/>
                          <w:color w:val="181818"/>
                          <w:sz w:val="20"/>
                          <w:szCs w:val="20"/>
                          <w:lang w:eastAsia="zh-CN"/>
                        </w:rPr>
                      </w:pPr>
                      <w:r>
                        <w:rPr>
                          <w:rFonts w:hint="eastAsia" w:cs="Times New Roman"/>
                          <w:b/>
                          <w:bCs/>
                          <w:color w:val="auto"/>
                          <w:sz w:val="20"/>
                          <w:szCs w:val="20"/>
                          <w:lang w:eastAsia="zh-CN"/>
                        </w:rPr>
                        <w:t>•</w:t>
                      </w:r>
                      <w:r>
                        <w:rPr>
                          <w:rFonts w:hint="eastAsia" w:cs="Times New Roman"/>
                          <w:color w:val="181818"/>
                          <w:sz w:val="20"/>
                          <w:szCs w:val="20"/>
                          <w:lang w:eastAsia="zh-CN"/>
                        </w:rPr>
                        <w:t>在科文斯拥有超过22年的临床前和临床药物开发经验</w:t>
                      </w:r>
                    </w:p>
                    <w:p>
                      <w:pPr>
                        <w:rPr>
                          <w:rFonts w:cs="Times New Roman"/>
                          <w:color w:val="181818"/>
                          <w:sz w:val="20"/>
                          <w:szCs w:val="20"/>
                          <w:lang w:eastAsia="zh-CN"/>
                        </w:rPr>
                      </w:pPr>
                      <w:r>
                        <w:rPr>
                          <w:rFonts w:hint="eastAsia" w:cs="Times New Roman"/>
                          <w:color w:val="181818"/>
                          <w:sz w:val="20"/>
                          <w:szCs w:val="20"/>
                          <w:lang w:eastAsia="zh-CN"/>
                        </w:rPr>
                        <w:t>•负责全球免疫学和免疫毒理学部门及科文斯早期开发实验室运营</w:t>
                      </w:r>
                    </w:p>
                    <w:p>
                      <w:pPr>
                        <w:rPr>
                          <w:rFonts w:cs="Times New Roman"/>
                          <w:color w:val="181818"/>
                          <w:sz w:val="20"/>
                          <w:szCs w:val="20"/>
                          <w:lang w:eastAsia="zh-CN"/>
                        </w:rPr>
                      </w:pPr>
                      <w:r>
                        <w:rPr>
                          <w:rFonts w:hint="eastAsia" w:cs="Times New Roman"/>
                          <w:color w:val="181818"/>
                          <w:sz w:val="20"/>
                          <w:szCs w:val="20"/>
                          <w:lang w:eastAsia="zh-CN"/>
                        </w:rPr>
                        <w:t>•领导业务部门，确保其工作符合标准</w:t>
                      </w:r>
                    </w:p>
                    <w:p>
                      <w:pPr>
                        <w:rPr>
                          <w:rFonts w:hint="eastAsia" w:cs="Times New Roman"/>
                          <w:color w:val="181818"/>
                          <w:sz w:val="20"/>
                          <w:szCs w:val="20"/>
                          <w:lang w:eastAsia="zh-CN"/>
                        </w:rPr>
                      </w:pPr>
                      <w:r>
                        <w:rPr>
                          <w:rFonts w:hint="eastAsia" w:cs="Times New Roman"/>
                          <w:color w:val="181818"/>
                          <w:sz w:val="20"/>
                          <w:szCs w:val="20"/>
                          <w:lang w:eastAsia="zh-CN"/>
                        </w:rPr>
                        <w:t>•确保试验符合相应的标准操作规程（SOPs）、良好实验室规范（GLPs）、</w:t>
                      </w:r>
                    </w:p>
                    <w:p>
                      <w:pPr>
                        <w:rPr>
                          <w:rFonts w:cs="Times New Roman"/>
                          <w:color w:val="181818"/>
                          <w:sz w:val="20"/>
                          <w:szCs w:val="20"/>
                          <w:lang w:eastAsia="zh-CN"/>
                        </w:rPr>
                      </w:pPr>
                      <w:r>
                        <w:rPr>
                          <w:rFonts w:hint="eastAsia" w:cs="Times New Roman"/>
                          <w:color w:val="181818"/>
                          <w:sz w:val="20"/>
                          <w:szCs w:val="20"/>
                          <w:lang w:eastAsia="zh-CN"/>
                        </w:rPr>
                        <w:t>国际AAALAC标准、动物福利法以及监管机构的指导方针</w:t>
                      </w:r>
                    </w:p>
                    <w:p>
                      <w:pPr>
                        <w:rPr>
                          <w:rFonts w:cs="Times New Roman"/>
                          <w:color w:val="181818"/>
                          <w:sz w:val="20"/>
                          <w:szCs w:val="20"/>
                          <w:lang w:eastAsia="zh-CN"/>
                        </w:rPr>
                      </w:pPr>
                      <w:r>
                        <w:rPr>
                          <w:rFonts w:hint="eastAsia" w:cs="Times New Roman"/>
                          <w:color w:val="181818"/>
                          <w:sz w:val="20"/>
                          <w:szCs w:val="20"/>
                          <w:lang w:eastAsia="zh-CN"/>
                        </w:rPr>
                        <w:t>•管理业务人员的业绩并对业务部门进行财政管理</w:t>
                      </w:r>
                    </w:p>
                    <w:p>
                      <w:pPr>
                        <w:rPr>
                          <w:rFonts w:cs="Times New Roman"/>
                          <w:color w:val="181818"/>
                          <w:sz w:val="20"/>
                          <w:szCs w:val="20"/>
                          <w:lang w:eastAsia="zh-CN"/>
                        </w:rPr>
                      </w:pPr>
                      <w:r>
                        <w:rPr>
                          <w:rFonts w:hint="eastAsia" w:cs="Times New Roman"/>
                          <w:color w:val="181818"/>
                          <w:sz w:val="20"/>
                          <w:szCs w:val="20"/>
                          <w:lang w:eastAsia="zh-CN"/>
                        </w:rPr>
                        <w:t>•确保向内部及外部客户准时交付高质量的结果</w:t>
                      </w:r>
                    </w:p>
                  </w:txbxContent>
                </v:textbox>
              </v:shape>
            </w:pict>
          </mc:Fallback>
        </mc:AlternateContent>
      </w:r>
    </w:p>
    <w:p>
      <w:pPr>
        <w:rPr>
          <w:rFonts w:cs="Times New Roman"/>
          <w:lang w:eastAsia="zh-CN"/>
        </w:rPr>
      </w:pPr>
      <w:r>
        <w:rPr>
          <w:rFonts w:cs="Times New Roman"/>
          <w:lang w:eastAsia="zh-CN"/>
        </w:rPr>
        <w:drawing>
          <wp:inline distT="0" distB="0" distL="114300" distR="114300">
            <wp:extent cx="877570" cy="1097280"/>
            <wp:effectExtent l="0" t="0" r="17780" b="7620"/>
            <wp:docPr id="2" name="图片 2" descr="H:\Admin\Constant Contacts\Employee Profiles\Maron, Brian\CHND-Tox_Maron-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Admin\Constant Contacts\Employee Profiles\Maron, Brian\CHND-Tox_Maron-Brian.jpg"/>
                    <pic:cNvPicPr>
                      <a:picLocks noChangeAspect="1"/>
                    </pic:cNvPicPr>
                  </pic:nvPicPr>
                  <pic:blipFill>
                    <a:blip r:embed="rId6"/>
                    <a:stretch>
                      <a:fillRect/>
                    </a:stretch>
                  </pic:blipFill>
                  <pic:spPr>
                    <a:xfrm>
                      <a:off x="0" y="0"/>
                      <a:ext cx="877570" cy="1097280"/>
                    </a:xfrm>
                    <a:prstGeom prst="rect">
                      <a:avLst/>
                    </a:prstGeom>
                    <a:noFill/>
                    <a:ln w="9525">
                      <a:noFill/>
                    </a:ln>
                  </pic:spPr>
                </pic:pic>
              </a:graphicData>
            </a:graphic>
          </wp:inline>
        </w:drawing>
      </w:r>
    </w:p>
    <w:p>
      <w:pPr>
        <w:rPr>
          <w:rFonts w:cs="Times New Roman"/>
          <w:lang w:eastAsia="zh-CN"/>
        </w:rPr>
      </w:pPr>
    </w:p>
    <w:p>
      <w:pPr>
        <w:rPr>
          <w:rFonts w:cs="Times New Roman"/>
          <w:lang w:eastAsia="zh-CN"/>
        </w:rPr>
      </w:pPr>
    </w:p>
    <w:p>
      <w:pPr>
        <w:rPr>
          <w:rFonts w:cs="Times New Roman"/>
          <w:lang w:eastAsia="zh-CN"/>
        </w:rPr>
      </w:pPr>
    </w:p>
    <w:p>
      <w:pPr>
        <w:rPr>
          <w:rFonts w:cs="Times New Roman"/>
        </w:rPr>
      </w:pPr>
    </w:p>
    <w:p>
      <w:pPr>
        <w:rPr>
          <w:rFonts w:cs="Times New Roman"/>
        </w:rPr>
      </w:pPr>
    </w:p>
    <w:p>
      <w:pPr>
        <w:rPr>
          <w:rFonts w:cs="Times New Roman"/>
        </w:rPr>
      </w:pPr>
    </w:p>
    <w:p>
      <w:pPr>
        <w:pStyle w:val="20"/>
      </w:pPr>
    </w:p>
    <w:p>
      <w:pPr>
        <w:pStyle w:val="20"/>
      </w:pPr>
      <w:r>
        <w:rPr>
          <w:color w:val="181818"/>
          <w:lang w:eastAsia="zh-CN"/>
        </w:rPr>
        <mc:AlternateContent>
          <mc:Choice Requires="wps">
            <w:drawing>
              <wp:anchor distT="0" distB="0" distL="114300" distR="114300" simplePos="0" relativeHeight="251661312" behindDoc="0" locked="0" layoutInCell="1" allowOverlap="1">
                <wp:simplePos x="0" y="0"/>
                <wp:positionH relativeFrom="column">
                  <wp:posOffset>1207770</wp:posOffset>
                </wp:positionH>
                <wp:positionV relativeFrom="paragraph">
                  <wp:posOffset>32385</wp:posOffset>
                </wp:positionV>
                <wp:extent cx="5191125" cy="2602230"/>
                <wp:effectExtent l="0" t="0" r="0" b="0"/>
                <wp:wrapNone/>
                <wp:docPr id="5" name="Text Box 5"/>
                <wp:cNvGraphicFramePr/>
                <a:graphic xmlns:a="http://schemas.openxmlformats.org/drawingml/2006/main">
                  <a:graphicData uri="http://schemas.microsoft.com/office/word/2010/wordprocessingShape">
                    <wps:wsp>
                      <wps:cNvSpPr txBox="1">
                        <a:spLocks noChangeArrowheads="1"/>
                      </wps:cNvSpPr>
                      <wps:spPr bwMode="auto">
                        <a:xfrm>
                          <a:off x="0" y="0"/>
                          <a:ext cx="5191125" cy="1840675"/>
                        </a:xfrm>
                        <a:prstGeom prst="rect">
                          <a:avLst/>
                        </a:prstGeom>
                        <a:noFill/>
                        <a:ln w="9525">
                          <a:noFill/>
                          <a:miter lim="800000"/>
                        </a:ln>
                        <a:effectLst/>
                      </wps:spPr>
                      <wps:txbx>
                        <w:txbxContent>
                          <w:p>
                            <w:pPr>
                              <w:pStyle w:val="19"/>
                              <w:rPr>
                                <w:rFonts w:ascii="Times New Roman" w:hAnsi="Times New Roman" w:cs="Times New Roman"/>
                                <w:b/>
                                <w:color w:val="auto"/>
                                <w:sz w:val="28"/>
                                <w:szCs w:val="28"/>
                              </w:rPr>
                            </w:pPr>
                            <w:r>
                              <w:rPr>
                                <w:rFonts w:hint="eastAsia" w:ascii="Times New Roman" w:hAnsi="Times New Roman" w:cs="Times New Roman"/>
                                <w:b/>
                                <w:color w:val="auto"/>
                                <w:sz w:val="28"/>
                                <w:szCs w:val="28"/>
                              </w:rPr>
                              <w:t xml:space="preserve">Victor H Chen, </w:t>
                            </w:r>
                            <w:r>
                              <w:rPr>
                                <w:rFonts w:ascii="Times New Roman" w:hAnsi="Times New Roman" w:cs="Times New Roman"/>
                                <w:b/>
                                <w:color w:val="auto"/>
                                <w:sz w:val="28"/>
                                <w:szCs w:val="28"/>
                              </w:rPr>
                              <w:t>PhD.</w:t>
                            </w:r>
                            <w:r>
                              <w:rPr>
                                <w:rFonts w:hint="eastAsia" w:ascii="Times New Roman" w:hAnsi="Times New Roman" w:cs="Times New Roman"/>
                                <w:b/>
                                <w:color w:val="auto"/>
                                <w:sz w:val="28"/>
                                <w:szCs w:val="28"/>
                              </w:rPr>
                              <w:t xml:space="preserve">, </w:t>
                            </w:r>
                            <w:r>
                              <w:rPr>
                                <w:rFonts w:ascii="Times New Roman" w:hAnsi="Times New Roman" w:cs="Times New Roman"/>
                                <w:b/>
                                <w:color w:val="auto"/>
                                <w:sz w:val="28"/>
                                <w:szCs w:val="28"/>
                              </w:rPr>
                              <w:t>D.A.B.T.</w:t>
                            </w:r>
                            <w:r>
                              <w:rPr>
                                <w:rFonts w:ascii="Times New Roman" w:hAnsi="Times New Roman" w:cs="Times New Roman"/>
                                <w:b/>
                                <w:sz w:val="28"/>
                                <w:szCs w:val="28"/>
                              </w:rPr>
                              <w:br w:type="textWrapping"/>
                            </w:r>
                            <w:r>
                              <w:rPr>
                                <w:rFonts w:hint="eastAsia" w:ascii="Times New Roman" w:hAnsi="Times New Roman" w:cs="Times New Roman"/>
                                <w:b/>
                                <w:bCs/>
                                <w:color w:val="auto"/>
                              </w:rPr>
                              <w:t>早期研发负责人及执行总监</w:t>
                            </w:r>
                          </w:p>
                          <w:p>
                            <w:pPr>
                              <w:pStyle w:val="19"/>
                              <w:rPr>
                                <w:rFonts w:ascii="Times New Roman" w:hAnsi="Times New Roman" w:cs="Times New Roman"/>
                                <w:b/>
                                <w:color w:val="auto"/>
                                <w:sz w:val="16"/>
                                <w:szCs w:val="16"/>
                              </w:rPr>
                            </w:pPr>
                          </w:p>
                          <w:p>
                            <w:pPr>
                              <w:pStyle w:val="19"/>
                              <w:rPr>
                                <w:rFonts w:ascii="Calibri" w:hAnsi="Calibri" w:cs="Times New Roman"/>
                                <w:sz w:val="20"/>
                                <w:szCs w:val="20"/>
                              </w:rPr>
                            </w:pPr>
                            <w:r>
                              <w:rPr>
                                <w:rFonts w:hint="eastAsia" w:ascii="Calibri" w:hAnsi="Calibri" w:cs="Times New Roman"/>
                                <w:sz w:val="20"/>
                                <w:szCs w:val="20"/>
                              </w:rPr>
                              <w:t>•在制药、生物技术和CRO行业拥有19年的药物研发经验</w:t>
                            </w:r>
                          </w:p>
                          <w:p>
                            <w:pPr>
                              <w:pStyle w:val="19"/>
                              <w:rPr>
                                <w:rFonts w:ascii="Calibri" w:hAnsi="Calibri" w:cs="Times New Roman"/>
                                <w:sz w:val="20"/>
                                <w:szCs w:val="20"/>
                              </w:rPr>
                            </w:pPr>
                            <w:r>
                              <w:rPr>
                                <w:rFonts w:hint="eastAsia" w:ascii="Calibri" w:hAnsi="Calibri" w:cs="Times New Roman"/>
                                <w:sz w:val="20"/>
                                <w:szCs w:val="20"/>
                              </w:rPr>
                              <w:t>•拥有丰富的药物产品开发和业务运作经验</w:t>
                            </w:r>
                          </w:p>
                          <w:p>
                            <w:pPr>
                              <w:pStyle w:val="19"/>
                              <w:rPr>
                                <w:rFonts w:ascii="Calibri" w:hAnsi="Calibri" w:cs="Times New Roman"/>
                                <w:sz w:val="20"/>
                                <w:szCs w:val="20"/>
                              </w:rPr>
                            </w:pPr>
                            <w:r>
                              <w:rPr>
                                <w:rFonts w:hint="eastAsia" w:ascii="Calibri" w:hAnsi="Calibri" w:cs="Times New Roman"/>
                                <w:sz w:val="20"/>
                                <w:szCs w:val="20"/>
                              </w:rPr>
                              <w:t>•在药物开发和解决药物研发中遇到的问题方面具有丰富经验</w:t>
                            </w:r>
                          </w:p>
                          <w:p>
                            <w:pPr>
                              <w:pStyle w:val="19"/>
                              <w:rPr>
                                <w:rFonts w:ascii="Calibri" w:hAnsi="Calibri" w:cs="Times New Roman"/>
                                <w:sz w:val="20"/>
                                <w:szCs w:val="20"/>
                              </w:rPr>
                            </w:pPr>
                            <w:r>
                              <w:rPr>
                                <w:rFonts w:hint="eastAsia" w:ascii="Calibri" w:hAnsi="Calibri" w:cs="Times New Roman"/>
                                <w:sz w:val="20"/>
                                <w:szCs w:val="20"/>
                              </w:rPr>
                              <w:t>•对小分子和生物制剂的科学和全球法规战略有深刻的理解</w:t>
                            </w:r>
                          </w:p>
                          <w:p>
                            <w:pPr>
                              <w:pStyle w:val="19"/>
                              <w:rPr>
                                <w:rFonts w:ascii="Calibri" w:hAnsi="Calibri" w:cs="Times New Roman"/>
                                <w:sz w:val="20"/>
                                <w:szCs w:val="20"/>
                              </w:rPr>
                            </w:pPr>
                            <w:r>
                              <w:rPr>
                                <w:rFonts w:hint="eastAsia" w:ascii="Calibri" w:hAnsi="Calibri" w:cs="Times New Roman"/>
                                <w:sz w:val="20"/>
                                <w:szCs w:val="20"/>
                              </w:rPr>
                              <w:t>•在候选药物的进展方面有独到的见解</w:t>
                            </w:r>
                          </w:p>
                          <w:p>
                            <w:pPr>
                              <w:pStyle w:val="19"/>
                              <w:rPr>
                                <w:rFonts w:ascii="Calibri" w:hAnsi="Calibri" w:cs="Times New Roman"/>
                                <w:sz w:val="20"/>
                                <w:szCs w:val="20"/>
                              </w:rPr>
                            </w:pPr>
                            <w:r>
                              <w:rPr>
                                <w:rFonts w:hint="eastAsia" w:ascii="Calibri" w:hAnsi="Calibri" w:cs="Times New Roman"/>
                                <w:sz w:val="20"/>
                                <w:szCs w:val="20"/>
                              </w:rPr>
                              <w:t>•代表药物开发小组，回应全球监管机构的询问并与之协商</w:t>
                            </w:r>
                          </w:p>
                          <w:p>
                            <w:pPr>
                              <w:pStyle w:val="19"/>
                              <w:rPr>
                                <w:rFonts w:cs="Times New Roman"/>
                                <w:sz w:val="20"/>
                                <w:szCs w:val="20"/>
                              </w:rPr>
                            </w:pPr>
                            <w:r>
                              <w:rPr>
                                <w:rFonts w:hint="eastAsia" w:ascii="Calibri" w:hAnsi="Calibri" w:cs="Times New Roman"/>
                                <w:sz w:val="20"/>
                                <w:szCs w:val="20"/>
                              </w:rPr>
                              <w:t>•熟悉GLP法规要求和ICH指南</w:t>
                            </w:r>
                          </w:p>
                        </w:txbxContent>
                      </wps:txbx>
                      <wps:bodyPr rot="0" vert="horz" wrap="square" lIns="91440" tIns="45720" rIns="91440" bIns="45720" anchor="t" anchorCtr="0">
                        <a:noAutofit/>
                      </wps:bodyPr>
                    </wps:wsp>
                  </a:graphicData>
                </a:graphic>
              </wp:anchor>
            </w:drawing>
          </mc:Choice>
          <mc:Fallback>
            <w:pict>
              <v:shape id="Text Box 5" o:spid="_x0000_s1026" o:spt="202" type="#_x0000_t202" style="position:absolute;left:0pt;margin-left:95.1pt;margin-top:2.55pt;height:204.9pt;width:408.75pt;z-index:251661312;mso-width-relative:page;mso-height-relative:page;" filled="f" stroked="f" coordsize="21600,21600" o:gfxdata="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FnjJdYAAAAKAQAADwAAAAAAAAABACAAAAAiAAAAZHJzL2Rvd25yZXYu&#10;eG1sUEsBAhQAFAAAAAgAh07iQHKq7TH9AQAA6QMAAA4AAAAAAAAAAQAgAAAAJQEAAGRycy9lMm9E&#10;b2MueG1sUEsFBgAAAAAGAAYAWQEAAJQFAAAAAA==&#10;">
                <v:fill on="f" focussize="0,0"/>
                <v:stroke on="f" miterlimit="8" joinstyle="miter"/>
                <v:imagedata o:title=""/>
                <o:lock v:ext="edit" aspectratio="f"/>
                <v:textbox>
                  <w:txbxContent>
                    <w:p>
                      <w:pPr>
                        <w:pStyle w:val="19"/>
                        <w:rPr>
                          <w:rFonts w:ascii="Times New Roman" w:hAnsi="Times New Roman" w:cs="Times New Roman"/>
                          <w:b/>
                          <w:color w:val="auto"/>
                          <w:sz w:val="28"/>
                          <w:szCs w:val="28"/>
                        </w:rPr>
                      </w:pPr>
                      <w:r>
                        <w:rPr>
                          <w:rFonts w:hint="eastAsia" w:ascii="Times New Roman" w:hAnsi="Times New Roman" w:cs="Times New Roman"/>
                          <w:b/>
                          <w:color w:val="auto"/>
                          <w:sz w:val="28"/>
                          <w:szCs w:val="28"/>
                        </w:rPr>
                        <w:t xml:space="preserve">Victor H Chen, </w:t>
                      </w:r>
                      <w:r>
                        <w:rPr>
                          <w:rFonts w:ascii="Times New Roman" w:hAnsi="Times New Roman" w:cs="Times New Roman"/>
                          <w:b/>
                          <w:color w:val="auto"/>
                          <w:sz w:val="28"/>
                          <w:szCs w:val="28"/>
                        </w:rPr>
                        <w:t>PhD.</w:t>
                      </w:r>
                      <w:r>
                        <w:rPr>
                          <w:rFonts w:hint="eastAsia" w:ascii="Times New Roman" w:hAnsi="Times New Roman" w:cs="Times New Roman"/>
                          <w:b/>
                          <w:color w:val="auto"/>
                          <w:sz w:val="28"/>
                          <w:szCs w:val="28"/>
                        </w:rPr>
                        <w:t xml:space="preserve">, </w:t>
                      </w:r>
                      <w:r>
                        <w:rPr>
                          <w:rFonts w:ascii="Times New Roman" w:hAnsi="Times New Roman" w:cs="Times New Roman"/>
                          <w:b/>
                          <w:color w:val="auto"/>
                          <w:sz w:val="28"/>
                          <w:szCs w:val="28"/>
                        </w:rPr>
                        <w:t>D.A.B.T.</w:t>
                      </w:r>
                      <w:r>
                        <w:rPr>
                          <w:rFonts w:ascii="Times New Roman" w:hAnsi="Times New Roman" w:cs="Times New Roman"/>
                          <w:b/>
                          <w:sz w:val="28"/>
                          <w:szCs w:val="28"/>
                        </w:rPr>
                        <w:br w:type="textWrapping"/>
                      </w:r>
                      <w:r>
                        <w:rPr>
                          <w:rFonts w:hint="eastAsia" w:ascii="Times New Roman" w:hAnsi="Times New Roman" w:cs="Times New Roman"/>
                          <w:b/>
                          <w:bCs/>
                          <w:color w:val="auto"/>
                        </w:rPr>
                        <w:t>早期研发负责人及执行总监</w:t>
                      </w:r>
                    </w:p>
                    <w:p>
                      <w:pPr>
                        <w:pStyle w:val="19"/>
                        <w:rPr>
                          <w:rFonts w:ascii="Times New Roman" w:hAnsi="Times New Roman" w:cs="Times New Roman"/>
                          <w:b/>
                          <w:color w:val="auto"/>
                          <w:sz w:val="16"/>
                          <w:szCs w:val="16"/>
                        </w:rPr>
                      </w:pPr>
                    </w:p>
                    <w:p>
                      <w:pPr>
                        <w:pStyle w:val="19"/>
                        <w:rPr>
                          <w:rFonts w:ascii="Calibri" w:hAnsi="Calibri" w:cs="Times New Roman"/>
                          <w:sz w:val="20"/>
                          <w:szCs w:val="20"/>
                        </w:rPr>
                      </w:pPr>
                      <w:r>
                        <w:rPr>
                          <w:rFonts w:hint="eastAsia" w:ascii="Calibri" w:hAnsi="Calibri" w:cs="Times New Roman"/>
                          <w:sz w:val="20"/>
                          <w:szCs w:val="20"/>
                        </w:rPr>
                        <w:t>•在制药、生物技术和CRO行业拥有19年的药物研发经验</w:t>
                      </w:r>
                    </w:p>
                    <w:p>
                      <w:pPr>
                        <w:pStyle w:val="19"/>
                        <w:rPr>
                          <w:rFonts w:ascii="Calibri" w:hAnsi="Calibri" w:cs="Times New Roman"/>
                          <w:sz w:val="20"/>
                          <w:szCs w:val="20"/>
                        </w:rPr>
                      </w:pPr>
                      <w:r>
                        <w:rPr>
                          <w:rFonts w:hint="eastAsia" w:ascii="Calibri" w:hAnsi="Calibri" w:cs="Times New Roman"/>
                          <w:sz w:val="20"/>
                          <w:szCs w:val="20"/>
                        </w:rPr>
                        <w:t>•拥有丰富的药物产品开发和业务运作经验</w:t>
                      </w:r>
                    </w:p>
                    <w:p>
                      <w:pPr>
                        <w:pStyle w:val="19"/>
                        <w:rPr>
                          <w:rFonts w:ascii="Calibri" w:hAnsi="Calibri" w:cs="Times New Roman"/>
                          <w:sz w:val="20"/>
                          <w:szCs w:val="20"/>
                        </w:rPr>
                      </w:pPr>
                      <w:r>
                        <w:rPr>
                          <w:rFonts w:hint="eastAsia" w:ascii="Calibri" w:hAnsi="Calibri" w:cs="Times New Roman"/>
                          <w:sz w:val="20"/>
                          <w:szCs w:val="20"/>
                        </w:rPr>
                        <w:t>•在药物开发和解决药物研发中遇到的问题方面具有丰富经验</w:t>
                      </w:r>
                    </w:p>
                    <w:p>
                      <w:pPr>
                        <w:pStyle w:val="19"/>
                        <w:rPr>
                          <w:rFonts w:ascii="Calibri" w:hAnsi="Calibri" w:cs="Times New Roman"/>
                          <w:sz w:val="20"/>
                          <w:szCs w:val="20"/>
                        </w:rPr>
                      </w:pPr>
                      <w:r>
                        <w:rPr>
                          <w:rFonts w:hint="eastAsia" w:ascii="Calibri" w:hAnsi="Calibri" w:cs="Times New Roman"/>
                          <w:sz w:val="20"/>
                          <w:szCs w:val="20"/>
                        </w:rPr>
                        <w:t>•对小分子和生物制剂的科学和全球法规战略有深刻的理解</w:t>
                      </w:r>
                    </w:p>
                    <w:p>
                      <w:pPr>
                        <w:pStyle w:val="19"/>
                        <w:rPr>
                          <w:rFonts w:ascii="Calibri" w:hAnsi="Calibri" w:cs="Times New Roman"/>
                          <w:sz w:val="20"/>
                          <w:szCs w:val="20"/>
                        </w:rPr>
                      </w:pPr>
                      <w:r>
                        <w:rPr>
                          <w:rFonts w:hint="eastAsia" w:ascii="Calibri" w:hAnsi="Calibri" w:cs="Times New Roman"/>
                          <w:sz w:val="20"/>
                          <w:szCs w:val="20"/>
                        </w:rPr>
                        <w:t>•在候选药物的进展方面有独到的见解</w:t>
                      </w:r>
                    </w:p>
                    <w:p>
                      <w:pPr>
                        <w:pStyle w:val="19"/>
                        <w:rPr>
                          <w:rFonts w:ascii="Calibri" w:hAnsi="Calibri" w:cs="Times New Roman"/>
                          <w:sz w:val="20"/>
                          <w:szCs w:val="20"/>
                        </w:rPr>
                      </w:pPr>
                      <w:r>
                        <w:rPr>
                          <w:rFonts w:hint="eastAsia" w:ascii="Calibri" w:hAnsi="Calibri" w:cs="Times New Roman"/>
                          <w:sz w:val="20"/>
                          <w:szCs w:val="20"/>
                        </w:rPr>
                        <w:t>•代表药物开发小组，回应全球监管机构的询问并与之协商</w:t>
                      </w:r>
                    </w:p>
                    <w:p>
                      <w:pPr>
                        <w:pStyle w:val="19"/>
                        <w:rPr>
                          <w:rFonts w:cs="Times New Roman"/>
                          <w:sz w:val="20"/>
                          <w:szCs w:val="20"/>
                        </w:rPr>
                      </w:pPr>
                      <w:r>
                        <w:rPr>
                          <w:rFonts w:hint="eastAsia" w:ascii="Calibri" w:hAnsi="Calibri" w:cs="Times New Roman"/>
                          <w:sz w:val="20"/>
                          <w:szCs w:val="20"/>
                        </w:rPr>
                        <w:t>•熟悉GLP法规要求和ICH指南</w:t>
                      </w:r>
                    </w:p>
                  </w:txbxContent>
                </v:textbox>
              </v:shape>
            </w:pict>
          </mc:Fallback>
        </mc:AlternateContent>
      </w:r>
    </w:p>
    <w:p>
      <w:pPr>
        <w:pStyle w:val="20"/>
        <w:numPr>
          <w:ilvl w:val="0"/>
          <w:numId w:val="0"/>
        </w:numPr>
        <w:rPr>
          <w:rFonts w:cs="Arial" w:eastAsiaTheme="minorEastAsia"/>
        </w:rPr>
      </w:pPr>
      <w:r>
        <w:rPr>
          <w:rFonts w:cs="Times New Roman"/>
          <w:lang w:eastAsia="zh-CN"/>
        </w:rPr>
        <w:drawing>
          <wp:inline distT="0" distB="0" distL="114300" distR="114300">
            <wp:extent cx="932180" cy="1097280"/>
            <wp:effectExtent l="0" t="0" r="1270" b="7620"/>
            <wp:docPr id="3" name="图片 3" descr="H:\Admin\Constant Contacts\Employee Profiles\Chen, Victor\Victor Che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Admin\Constant Contacts\Employee Profiles\Chen, Victor\Victor Chen 02.jpg"/>
                    <pic:cNvPicPr>
                      <a:picLocks noChangeAspect="1"/>
                    </pic:cNvPicPr>
                  </pic:nvPicPr>
                  <pic:blipFill>
                    <a:blip r:embed="rId7"/>
                    <a:stretch>
                      <a:fillRect/>
                    </a:stretch>
                  </pic:blipFill>
                  <pic:spPr>
                    <a:xfrm>
                      <a:off x="0" y="0"/>
                      <a:ext cx="932180" cy="1097280"/>
                    </a:xfrm>
                    <a:prstGeom prst="rect">
                      <a:avLst/>
                    </a:prstGeom>
                    <a:noFill/>
                    <a:ln w="9525">
                      <a:noFill/>
                    </a:ln>
                  </pic:spPr>
                </pic:pic>
              </a:graphicData>
            </a:graphic>
          </wp:inline>
        </w:drawing>
      </w:r>
    </w:p>
    <w:p>
      <w:pPr>
        <w:spacing w:line="360" w:lineRule="auto"/>
        <w:rPr>
          <w:lang w:eastAsia="zh-CN"/>
        </w:rPr>
      </w:pPr>
    </w:p>
    <w:p>
      <w:pPr>
        <w:rPr>
          <w:rFonts w:hint="eastAsia" w:ascii="方正仿宋_GBK" w:eastAsia="方正仿宋_GBK" w:cs="仿宋_GB2312"/>
          <w:snapToGrid w:val="0"/>
          <w:kern w:val="0"/>
          <w:sz w:val="32"/>
          <w:szCs w:val="32"/>
          <w:lang w:val="en-US" w:eastAsia="zh-CN"/>
        </w:rPr>
      </w:pPr>
      <w:bookmarkStart w:id="1" w:name="_GoBack"/>
      <w:bookmarkEnd w:id="1"/>
    </w:p>
    <w:p>
      <w:pPr>
        <w:ind w:firstLine="4800" w:firstLineChars="1500"/>
        <w:rPr>
          <w:rFonts w:hint="eastAsia" w:ascii="方正仿宋_GBK" w:eastAsia="方正仿宋_GBK" w:cs="仿宋_GB2312"/>
          <w:snapToGrid w:val="0"/>
          <w:kern w:val="0"/>
          <w:sz w:val="32"/>
          <w:szCs w:val="32"/>
          <w:lang w:val="en-US" w:eastAsia="zh-CN"/>
        </w:rPr>
      </w:pPr>
    </w:p>
    <w:p>
      <w:pPr>
        <w:ind w:firstLine="4800" w:firstLineChars="1500"/>
        <w:rPr>
          <w:rFonts w:hint="eastAsia" w:ascii="方正仿宋_GBK" w:eastAsia="方正仿宋_GBK" w:cs="仿宋_GB2312"/>
          <w:snapToGrid w:val="0"/>
          <w:kern w:val="0"/>
          <w:sz w:val="32"/>
          <w:szCs w:val="32"/>
          <w:lang w:val="en-US" w:eastAsia="zh-CN"/>
        </w:rPr>
      </w:pPr>
    </w:p>
    <w:sectPr>
      <w:headerReference r:id="rId3" w:type="default"/>
      <w:pgSz w:w="11906" w:h="16838"/>
      <w:pgMar w:top="1440" w:right="1588"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楷体_GBK">
    <w:altName w:val="微软雅黑"/>
    <w:panose1 w:val="03000509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Wingdings 3">
    <w:altName w:val="Symbol"/>
    <w:panose1 w:val="05040102010807070707"/>
    <w:charset w:val="02"/>
    <w:family w:val="roman"/>
    <w:pitch w:val="default"/>
    <w:sig w:usb0="00000000" w:usb1="00000000" w:usb2="00000000" w:usb3="00000000" w:csb0="80000000" w:csb1="00000000"/>
  </w:font>
  <w:font w:name="Segoe">
    <w:altName w:val="Segoe UI"/>
    <w:panose1 w:val="00000000000000000000"/>
    <w:charset w:val="00"/>
    <w:family w:val="auto"/>
    <w:pitch w:val="default"/>
    <w:sig w:usb0="00000000" w:usb1="00000000" w:usb2="00000000" w:usb3="00000000" w:csb0="000000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80"/>
    <w:family w:val="swiss"/>
    <w:pitch w:val="default"/>
    <w:sig w:usb0="00000000" w:usb1="00000000" w:usb2="0000003F" w:usb3="00000000" w:csb0="603F01FF" w:csb1="FFFF0000"/>
  </w:font>
  <w:font w:name="MS PGothic">
    <w:panose1 w:val="020B0600070205080204"/>
    <w:charset w:val="80"/>
    <w:family w:val="swiss"/>
    <w:pitch w:val="default"/>
    <w:sig w:usb0="E00002FF" w:usb1="6AC7FDFB" w:usb2="00000012" w:usb3="00000000" w:csb0="4002009F" w:csb1="DFD70000"/>
  </w:font>
  <w:font w:name="MS PMincho">
    <w:panose1 w:val="02020600040205080304"/>
    <w:charset w:val="80"/>
    <w:family w:val="roman"/>
    <w:pitch w:val="default"/>
    <w:sig w:usb0="E00002FF" w:usb1="6AC7FDFB" w:usb2="00000012" w:usb3="00000000" w:csb0="4002009F" w:csb1="DFD7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 w:name="lucida Grande">
    <w:altName w:val="Segoe Print"/>
    <w:panose1 w:val="00000000000000000000"/>
    <w:charset w:val="00"/>
    <w:family w:val="auto"/>
    <w:pitch w:val="default"/>
    <w:sig w:usb0="00000000" w:usb1="00000000" w:usb2="00000000" w:usb3="00000000" w:csb0="00000000" w:csb1="00000000"/>
  </w:font>
  <w:font w:name="RomanS">
    <w:altName w:val="Chaparral Pro Light"/>
    <w:panose1 w:val="02000400000000000000"/>
    <w:charset w:val="00"/>
    <w:family w:val="auto"/>
    <w:pitch w:val="default"/>
    <w:sig w:usb0="00000000" w:usb1="00000000" w:usb2="00000000" w:usb3="00000000" w:csb0="000001FF" w:csb1="00000000"/>
  </w:font>
  <w:font w:name="方正小标宋简体">
    <w:altName w:val="微软雅黑"/>
    <w:panose1 w:val="0201060103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Chaparral Pro Light">
    <w:panose1 w:val="02060403030505090203"/>
    <w:charset w:val="00"/>
    <w:family w:val="auto"/>
    <w:pitch w:val="default"/>
    <w:sig w:usb0="00000007" w:usb1="00000001" w:usb2="00000000" w:usb3="00000000" w:csb0="20000093"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11155"/>
    <w:multiLevelType w:val="multilevel"/>
    <w:tmpl w:val="08C11155"/>
    <w:lvl w:ilvl="0" w:tentative="0">
      <w:start w:val="1"/>
      <w:numFmt w:val="none"/>
      <w:pStyle w:val="20"/>
      <w:lvlText w:val=""/>
      <w:lvlJc w:val="left"/>
      <w:pPr>
        <w:tabs>
          <w:tab w:val="left" w:pos="0"/>
        </w:tabs>
        <w:ind w:left="0" w:firstLine="0"/>
      </w:pPr>
      <w:rPr>
        <w:rFonts w:hint="default"/>
      </w:rPr>
    </w:lvl>
    <w:lvl w:ilvl="1" w:tentative="0">
      <w:start w:val="1"/>
      <w:numFmt w:val="bullet"/>
      <w:lvlText w:val="►"/>
      <w:lvlJc w:val="left"/>
      <w:pPr>
        <w:ind w:left="720" w:hanging="360"/>
      </w:pPr>
      <w:rPr>
        <w:rFonts w:hint="default" w:ascii="Arial" w:hAnsi="Arial"/>
        <w:color w:val="000000" w:themeColor="text1"/>
      </w:rPr>
    </w:lvl>
    <w:lvl w:ilvl="2" w:tentative="0">
      <w:start w:val="1"/>
      <w:numFmt w:val="bullet"/>
      <w:lvlText w:val="•"/>
      <w:lvlJc w:val="left"/>
      <w:pPr>
        <w:ind w:left="1080" w:hanging="360"/>
      </w:pPr>
      <w:rPr>
        <w:rFonts w:hint="default" w:ascii="Times" w:hAnsi="Times"/>
      </w:rPr>
    </w:lvl>
    <w:lvl w:ilvl="3" w:tentative="0">
      <w:start w:val="1"/>
      <w:numFmt w:val="bullet"/>
      <w:lvlText w:val="–"/>
      <w:lvlJc w:val="left"/>
      <w:pPr>
        <w:ind w:left="1440" w:hanging="360"/>
      </w:pPr>
      <w:rPr>
        <w:rFonts w:hint="default" w:ascii="Arial" w:hAnsi="Arial"/>
      </w:rPr>
    </w:lvl>
    <w:lvl w:ilvl="4" w:tentative="0">
      <w:start w:val="1"/>
      <w:numFmt w:val="bullet"/>
      <w:lvlText w:val=""/>
      <w:lvlJc w:val="left"/>
      <w:pPr>
        <w:ind w:left="1800" w:hanging="360"/>
      </w:pPr>
      <w:rPr>
        <w:rFonts w:hint="default" w:ascii="Wingdings 3" w:hAnsi="Wingdings 3"/>
        <w:color w:val="1A1A1A"/>
      </w:rPr>
    </w:lvl>
    <w:lvl w:ilvl="5" w:tentative="0">
      <w:start w:val="1"/>
      <w:numFmt w:val="bullet"/>
      <w:lvlText w:val="º"/>
      <w:lvlJc w:val="left"/>
      <w:pPr>
        <w:ind w:left="2160" w:hanging="360"/>
      </w:pPr>
      <w:rPr>
        <w:rFonts w:hint="default" w:ascii="Segoe" w:hAnsi="Segoe"/>
      </w:rPr>
    </w:lvl>
    <w:lvl w:ilvl="6" w:tentative="0">
      <w:start w:val="1"/>
      <w:numFmt w:val="none"/>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0E9"/>
    <w:rsid w:val="00024241"/>
    <w:rsid w:val="00034FA8"/>
    <w:rsid w:val="000448AF"/>
    <w:rsid w:val="00074A24"/>
    <w:rsid w:val="000856A1"/>
    <w:rsid w:val="00117248"/>
    <w:rsid w:val="00134046"/>
    <w:rsid w:val="00173EFF"/>
    <w:rsid w:val="00232728"/>
    <w:rsid w:val="00247739"/>
    <w:rsid w:val="002A3AB1"/>
    <w:rsid w:val="002C704C"/>
    <w:rsid w:val="002D4D4C"/>
    <w:rsid w:val="002F4484"/>
    <w:rsid w:val="0030342A"/>
    <w:rsid w:val="00315D49"/>
    <w:rsid w:val="00387C71"/>
    <w:rsid w:val="00396F21"/>
    <w:rsid w:val="00401A80"/>
    <w:rsid w:val="0043614E"/>
    <w:rsid w:val="004D3488"/>
    <w:rsid w:val="00525EF8"/>
    <w:rsid w:val="005525E0"/>
    <w:rsid w:val="00581693"/>
    <w:rsid w:val="005B29FC"/>
    <w:rsid w:val="00602935"/>
    <w:rsid w:val="0061592B"/>
    <w:rsid w:val="00673DF8"/>
    <w:rsid w:val="006823F6"/>
    <w:rsid w:val="006C6B05"/>
    <w:rsid w:val="00701B15"/>
    <w:rsid w:val="00750AAB"/>
    <w:rsid w:val="00783CE8"/>
    <w:rsid w:val="00796775"/>
    <w:rsid w:val="007B23FA"/>
    <w:rsid w:val="007B5309"/>
    <w:rsid w:val="007D2CE5"/>
    <w:rsid w:val="00804907"/>
    <w:rsid w:val="008154C0"/>
    <w:rsid w:val="0082545A"/>
    <w:rsid w:val="00890CA3"/>
    <w:rsid w:val="008B520E"/>
    <w:rsid w:val="008E0975"/>
    <w:rsid w:val="008E10E9"/>
    <w:rsid w:val="008E1DE9"/>
    <w:rsid w:val="008F6290"/>
    <w:rsid w:val="009277B7"/>
    <w:rsid w:val="00930DC7"/>
    <w:rsid w:val="00943855"/>
    <w:rsid w:val="0094659C"/>
    <w:rsid w:val="009B02A3"/>
    <w:rsid w:val="009D5DF4"/>
    <w:rsid w:val="009E0CEE"/>
    <w:rsid w:val="00A0293E"/>
    <w:rsid w:val="00A02EDC"/>
    <w:rsid w:val="00A135B9"/>
    <w:rsid w:val="00A24B4D"/>
    <w:rsid w:val="00A63208"/>
    <w:rsid w:val="00A96545"/>
    <w:rsid w:val="00AB01DC"/>
    <w:rsid w:val="00AE401A"/>
    <w:rsid w:val="00B25A64"/>
    <w:rsid w:val="00B318F7"/>
    <w:rsid w:val="00B47679"/>
    <w:rsid w:val="00BA42D5"/>
    <w:rsid w:val="00BE20C3"/>
    <w:rsid w:val="00C04AE3"/>
    <w:rsid w:val="00C566D1"/>
    <w:rsid w:val="00C761ED"/>
    <w:rsid w:val="00CE321A"/>
    <w:rsid w:val="00D676A8"/>
    <w:rsid w:val="00DB1CF0"/>
    <w:rsid w:val="00E1529A"/>
    <w:rsid w:val="00E26069"/>
    <w:rsid w:val="00E35F2D"/>
    <w:rsid w:val="00E55DF5"/>
    <w:rsid w:val="00EC6662"/>
    <w:rsid w:val="00EC7836"/>
    <w:rsid w:val="00EE5E6E"/>
    <w:rsid w:val="00F06A6D"/>
    <w:rsid w:val="00F33EFD"/>
    <w:rsid w:val="00F37802"/>
    <w:rsid w:val="00F55B13"/>
    <w:rsid w:val="00F71D26"/>
    <w:rsid w:val="00F84D20"/>
    <w:rsid w:val="00FA68D7"/>
    <w:rsid w:val="00FE1451"/>
    <w:rsid w:val="00FE5AAB"/>
    <w:rsid w:val="00FF2BC6"/>
    <w:rsid w:val="00FF3E50"/>
    <w:rsid w:val="00FF5F1D"/>
    <w:rsid w:val="04822599"/>
    <w:rsid w:val="11413FEF"/>
    <w:rsid w:val="15782A23"/>
    <w:rsid w:val="1CC02958"/>
    <w:rsid w:val="2B2C7287"/>
    <w:rsid w:val="30B460D5"/>
    <w:rsid w:val="347B5E32"/>
    <w:rsid w:val="365203D9"/>
    <w:rsid w:val="376202F2"/>
    <w:rsid w:val="4C353804"/>
    <w:rsid w:val="57425190"/>
    <w:rsid w:val="59826065"/>
    <w:rsid w:val="5E6B0C9F"/>
    <w:rsid w:val="61C00674"/>
    <w:rsid w:val="758F7CAA"/>
    <w:rsid w:val="7A5F4F57"/>
    <w:rsid w:val="7ECB310B"/>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unhideWhenUsed/>
    <w:uiPriority w:val="99"/>
    <w:pPr>
      <w:spacing w:after="120"/>
    </w:pPr>
  </w:style>
  <w:style w:type="paragraph" w:styleId="3">
    <w:name w:val="Date"/>
    <w:basedOn w:val="1"/>
    <w:next w:val="1"/>
    <w:link w:val="17"/>
    <w:qFormat/>
    <w:uiPriority w:val="99"/>
    <w:pPr>
      <w:ind w:left="100" w:leftChars="2500"/>
    </w:p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99"/>
    <w:rPr>
      <w:rFonts w:cs="Times New Roman"/>
      <w:color w:val="0000FF"/>
      <w:u w:val="single"/>
    </w:rPr>
  </w:style>
  <w:style w:type="character" w:customStyle="1" w:styleId="9">
    <w:name w:val="页眉 Char"/>
    <w:basedOn w:val="6"/>
    <w:link w:val="5"/>
    <w:qFormat/>
    <w:locked/>
    <w:uiPriority w:val="99"/>
    <w:rPr>
      <w:rFonts w:ascii="Times New Roman" w:hAnsi="Times New Roman" w:eastAsia="宋体" w:cs="Times New Roman"/>
      <w:sz w:val="18"/>
      <w:szCs w:val="18"/>
    </w:rPr>
  </w:style>
  <w:style w:type="character" w:customStyle="1" w:styleId="10">
    <w:name w:val="页脚 Char"/>
    <w:basedOn w:val="6"/>
    <w:link w:val="4"/>
    <w:qFormat/>
    <w:locked/>
    <w:uiPriority w:val="99"/>
    <w:rPr>
      <w:rFonts w:ascii="Times New Roman" w:hAnsi="Times New Roman" w:eastAsia="宋体" w:cs="Times New Roman"/>
      <w:sz w:val="18"/>
      <w:szCs w:val="18"/>
    </w:rPr>
  </w:style>
  <w:style w:type="paragraph" w:customStyle="1" w:styleId="11">
    <w:name w:val="列出段落1"/>
    <w:basedOn w:val="1"/>
    <w:qFormat/>
    <w:uiPriority w:val="99"/>
    <w:pPr>
      <w:ind w:firstLine="420" w:firstLineChars="200"/>
    </w:pPr>
    <w:rPr>
      <w:rFonts w:ascii="Calibri" w:hAnsi="Calibri" w:cs="Calibri"/>
    </w:rPr>
  </w:style>
  <w:style w:type="paragraph" w:customStyle="1" w:styleId="12">
    <w:name w:val="pa-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3">
    <w:name w:val="pa-4"/>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4">
    <w:name w:val="ca-4"/>
    <w:basedOn w:val="6"/>
    <w:qFormat/>
    <w:uiPriority w:val="99"/>
    <w:rPr>
      <w:rFonts w:cs="Times New Roman"/>
    </w:rPr>
  </w:style>
  <w:style w:type="character" w:customStyle="1" w:styleId="15">
    <w:name w:val="ca-13"/>
    <w:basedOn w:val="6"/>
    <w:qFormat/>
    <w:uiPriority w:val="99"/>
    <w:rPr>
      <w:rFonts w:cs="Times New Roman"/>
    </w:rPr>
  </w:style>
  <w:style w:type="paragraph" w:customStyle="1" w:styleId="16">
    <w:name w:val="列出段落2"/>
    <w:basedOn w:val="1"/>
    <w:qFormat/>
    <w:uiPriority w:val="99"/>
    <w:pPr>
      <w:ind w:firstLine="420" w:firstLineChars="200"/>
    </w:pPr>
    <w:rPr>
      <w:rFonts w:ascii="Calibri" w:hAnsi="Calibri" w:cs="Calibri"/>
    </w:rPr>
  </w:style>
  <w:style w:type="character" w:customStyle="1" w:styleId="17">
    <w:name w:val="日期 Char"/>
    <w:basedOn w:val="6"/>
    <w:link w:val="3"/>
    <w:semiHidden/>
    <w:qFormat/>
    <w:locked/>
    <w:uiPriority w:val="99"/>
    <w:rPr>
      <w:rFonts w:ascii="Times New Roman" w:hAnsi="Times New Roman" w:cs="Times New Roman"/>
      <w:sz w:val="24"/>
      <w:szCs w:val="24"/>
    </w:rPr>
  </w:style>
  <w:style w:type="paragraph" w:styleId="18">
    <w:name w:val="List Paragraph"/>
    <w:basedOn w:val="1"/>
    <w:qFormat/>
    <w:uiPriority w:val="34"/>
    <w:pPr>
      <w:ind w:left="720"/>
      <w:contextualSpacing/>
    </w:pPr>
  </w:style>
  <w:style w:type="paragraph" w:customStyle="1" w:styleId="19">
    <w:name w:val="Default"/>
    <w:basedOn w:val="1"/>
    <w:qFormat/>
    <w:uiPriority w:val="0"/>
    <w:pPr>
      <w:autoSpaceDE w:val="0"/>
      <w:autoSpaceDN w:val="0"/>
    </w:pPr>
    <w:rPr>
      <w:rFonts w:ascii="Arial" w:hAnsi="Arial"/>
      <w:color w:val="000000"/>
      <w:lang w:eastAsia="zh-CN"/>
    </w:rPr>
  </w:style>
  <w:style w:type="paragraph" w:customStyle="1" w:styleId="20">
    <w:name w:val="05 - Normal Body Text"/>
    <w:basedOn w:val="2"/>
    <w:qFormat/>
    <w:uiPriority w:val="0"/>
    <w:pPr>
      <w:numPr>
        <w:ilvl w:val="0"/>
        <w:numId w:val="1"/>
      </w:numPr>
      <w:ind w:right="36"/>
    </w:pPr>
    <w:rPr>
      <w:rFonts w:eastAsia="MS PMincho" w:cs="Times New Roman"/>
    </w:rPr>
  </w:style>
  <w:style w:type="paragraph" w:customStyle="1" w:styleId="21">
    <w:name w:val="14 - Footer Document Style"/>
    <w:basedOn w:val="1"/>
    <w:qFormat/>
    <w:uiPriority w:val="0"/>
    <w:pPr>
      <w:tabs>
        <w:tab w:val="center" w:pos="4320"/>
        <w:tab w:val="right" w:pos="8640"/>
      </w:tabs>
    </w:pPr>
    <w:rPr>
      <w:rFonts w:ascii="Arial" w:hAnsi="Arial"/>
      <w:color w:val="auto"/>
      <w:sz w:val="16"/>
      <w:szCs w:val="1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relations xmlns="http://www.yonyou.com/relation"/>
</file>

<file path=customXml/item3.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E6FBE6-01F9-4235-BE4A-33018BE43A90}">
  <ds:schemaRefs/>
</ds:datastoreItem>
</file>

<file path=customXml/itemProps3.xml><?xml version="1.0" encoding="utf-8"?>
<ds:datastoreItem xmlns:ds="http://schemas.openxmlformats.org/officeDocument/2006/customXml" ds:itemID="{B325FFB3-E7B7-4D30-8FA5-3FCB0C94691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82</Words>
  <Characters>474</Characters>
  <Lines>3</Lines>
  <Paragraphs>1</Paragraphs>
  <ScaleCrop>false</ScaleCrop>
  <LinksUpToDate>false</LinksUpToDate>
  <CharactersWithSpaces>555</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2013-10-17T05:24:00Z</dcterms:created>
  <dc:creator>Administrator</dc:creator>
  <cp:lastModifiedBy>Administrator</cp:lastModifiedBy>
  <cp:lastPrinted>2014-02-21T02:19:00Z</cp:lastPrinted>
  <dcterms:modified xsi:type="dcterms:W3CDTF">2017-11-13T09:34:47Z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